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numPr>
          <w:ilvl w:val="0"/>
          <w:numId w:val="0"/>
        </w:numPr>
        <w:spacing w:before="227" w:after="119"/>
        <w:ind w:left="0" w:right="0" w:hanging="0"/>
        <w:rPr/>
      </w:pPr>
      <w:r>
        <w:drawing>
          <wp:anchor behindDoc="0" distT="0" distB="0" distL="0" distR="0" simplePos="0" locked="0" layoutInCell="0" allowOverlap="1" relativeHeight="2">
            <wp:simplePos x="0" y="0"/>
            <wp:positionH relativeFrom="page">
              <wp:posOffset>482600</wp:posOffset>
            </wp:positionH>
            <wp:positionV relativeFrom="page">
              <wp:posOffset>267970</wp:posOffset>
            </wp:positionV>
            <wp:extent cx="6433185" cy="1724660"/>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11" t="-42" r="-11" b="-42"/>
                    <a:stretch>
                      <a:fillRect/>
                    </a:stretch>
                  </pic:blipFill>
                  <pic:spPr bwMode="auto">
                    <a:xfrm>
                      <a:off x="0" y="0"/>
                      <a:ext cx="6433185" cy="1724660"/>
                    </a:xfrm>
                    <a:prstGeom prst="rect">
                      <a:avLst/>
                    </a:prstGeom>
                  </pic:spPr>
                </pic:pic>
              </a:graphicData>
            </a:graphic>
          </wp:anchor>
        </w:drawing>
      </w:r>
      <w:r>
        <w:rPr>
          <w:rStyle w:val="Strong"/>
          <w:b/>
        </w:rPr>
        <w:t>Kita-Qualitätsgesetz und die Milliarden vom Bund für Kitas!</w:t>
      </w:r>
    </w:p>
    <w:p>
      <w:pPr>
        <w:pStyle w:val="Normal"/>
        <w:spacing w:before="0" w:after="17"/>
        <w:rPr/>
      </w:pPr>
      <w:r>
        <w:rPr>
          <w:rFonts w:ascii="Times New Roman" w:hAnsi="Times New Roman"/>
        </w:rPr>
        <w:t>Die öffentlichen Medien haben darüber informiert, dass der Bund, in Person von Familienministerin Lisa Paus erklärt hat, dass jetzt alle Bundesländer Verträge zum Kita-Qualitätsgesetz unterschrieben haben und vom Bund somit 4 Milliarden Euro in den nächsten Jahren zur Verfügung gestellt werden. Der Landeselternausschuss (LEA) hat ebenfalls darüber berichtet.</w:t>
      </w:r>
    </w:p>
    <w:p>
      <w:pPr>
        <w:pStyle w:val="Normal"/>
        <w:spacing w:before="0" w:after="17"/>
        <w:rPr/>
      </w:pPr>
      <w:r>
        <w:rPr>
          <w:rFonts w:ascii="Times New Roman" w:hAnsi="Times New Roman"/>
        </w:rPr>
        <w:t>Damit ist es sicher, dass vom Bund Gelder fließen für Qualitätsverbesserungen in den Kitas.</w:t>
      </w:r>
    </w:p>
    <w:p>
      <w:pPr>
        <w:pStyle w:val="Normal"/>
        <w:spacing w:before="0" w:after="17"/>
        <w:rPr/>
      </w:pPr>
      <w:r>
        <w:rPr>
          <w:rStyle w:val="Strong"/>
          <w:rFonts w:ascii="Times New Roman" w:hAnsi="Times New Roman"/>
        </w:rPr>
        <w:t>Positiv ist, dass mit den Geldern vom Bund auch die Sprach-Kitas weiter finanziert werden sollen.</w:t>
      </w:r>
    </w:p>
    <w:p>
      <w:pPr>
        <w:pStyle w:val="Berschrift2"/>
        <w:numPr>
          <w:ilvl w:val="0"/>
          <w:numId w:val="0"/>
        </w:numPr>
        <w:ind w:left="0" w:right="0" w:hanging="0"/>
        <w:rPr>
          <w:rFonts w:ascii="Arial" w:hAnsi="Arial"/>
          <w:i w:val="false"/>
          <w:i w:val="false"/>
          <w:iCs w:val="false"/>
        </w:rPr>
      </w:pPr>
      <w:r>
        <w:rPr>
          <w:rFonts w:ascii="Arial" w:hAnsi="Arial"/>
          <w:i w:val="false"/>
          <w:iCs w:val="false"/>
        </w:rPr>
        <w:t>Die Hamburger Vereinbarungen mit dem Bund</w:t>
      </w:r>
    </w:p>
    <w:p>
      <w:pPr>
        <w:pStyle w:val="Normal"/>
        <w:spacing w:before="0" w:after="17"/>
        <w:rPr/>
      </w:pPr>
      <w:r>
        <w:rPr>
          <w:rFonts w:ascii="Times New Roman" w:hAnsi="Times New Roman"/>
        </w:rPr>
        <w:t>Der HHger Vertrag sieht vor die Gelder hauptsächlich für Verbesserungen des Fachkraft-Kind-Schlüssels zu verwenden.</w:t>
      </w:r>
    </w:p>
    <w:p>
      <w:pPr>
        <w:pStyle w:val="Normal"/>
        <w:spacing w:before="0" w:after="17"/>
        <w:rPr/>
      </w:pPr>
      <w:r>
        <w:rPr>
          <w:rFonts w:ascii="Times New Roman" w:hAnsi="Times New Roman"/>
        </w:rPr>
        <w:t>Allerdings scheint der Hamburger Senat sich davon, die von den Beschäftigten, ihren Gewerkschaften und dem Kita-Netzwerk mühsam erkämpften Verbesserungen der letzten Jahre in den Krippen, im Nachhinein finanzieren lassen zu wollen.</w:t>
      </w:r>
    </w:p>
    <w:p>
      <w:pPr>
        <w:pStyle w:val="Normal"/>
        <w:spacing w:before="0" w:after="17"/>
        <w:rPr/>
      </w:pPr>
      <w:r>
        <w:rPr>
          <w:rStyle w:val="Strong"/>
          <w:rFonts w:ascii="Times New Roman" w:hAnsi="Times New Roman"/>
          <w:b w:val="false"/>
          <w:bCs w:val="false"/>
        </w:rPr>
        <w:t>Im Handlungs- und Finanzierungskonzept der FHH heißt es u. a. auf Seite 5:“Da die zugesagten und gesetzlich geregelten Qualitätsverbesserungen im Krippenbereich seit dem 1. Januar 2021 final umgesetzt werden, sind keine weiteren Meilensteine vorgesehen.“</w:t>
      </w:r>
    </w:p>
    <w:p>
      <w:pPr>
        <w:pStyle w:val="Normal"/>
        <w:spacing w:before="0" w:after="17"/>
        <w:rPr>
          <w:rFonts w:ascii="Times New Roman" w:hAnsi="Times New Roman"/>
        </w:rPr>
      </w:pPr>
      <w:r>
        <w:rPr>
          <w:rFonts w:ascii="Times New Roman" w:hAnsi="Times New Roman"/>
        </w:rPr>
        <w:t xml:space="preserve">Die minimalen Verbesserungen im </w:t>
      </w:r>
      <w:r>
        <w:rPr>
          <w:rFonts w:ascii="Times New Roman" w:hAnsi="Times New Roman"/>
          <w:sz w:val="24"/>
          <w:szCs w:val="24"/>
        </w:rPr>
        <w:t xml:space="preserve">Elementarbereich </w:t>
      </w:r>
      <w:r>
        <w:rPr>
          <w:rFonts w:ascii="Times New Roman" w:hAnsi="Times New Roman"/>
        </w:rPr>
        <w:t>sollen weiter durch Landesmittel finanziert werden.</w:t>
      </w:r>
    </w:p>
    <w:p>
      <w:pPr>
        <w:pStyle w:val="Normal"/>
        <w:spacing w:before="0" w:after="17"/>
        <w:rPr>
          <w:rFonts w:ascii="Times New Roman" w:hAnsi="Times New Roman"/>
        </w:rPr>
      </w:pPr>
      <w:r>
        <w:rPr>
          <w:rFonts w:ascii="Times New Roman" w:hAnsi="Times New Roman"/>
          <w:b/>
          <w:bCs/>
          <w:sz w:val="28"/>
          <w:szCs w:val="28"/>
        </w:rPr>
        <w:t>D</w:t>
      </w:r>
      <w:r>
        <w:rPr>
          <w:rFonts w:ascii="Times New Roman" w:hAnsi="Times New Roman"/>
        </w:rPr>
        <w:t xml:space="preserve">ie </w:t>
      </w:r>
      <w:r>
        <w:rPr>
          <w:rFonts w:ascii="Times New Roman" w:hAnsi="Times New Roman"/>
          <w:b/>
          <w:bCs/>
          <w:sz w:val="28"/>
          <w:szCs w:val="28"/>
        </w:rPr>
        <w:t>O</w:t>
      </w:r>
      <w:r>
        <w:rPr>
          <w:rFonts w:ascii="Times New Roman" w:hAnsi="Times New Roman"/>
        </w:rPr>
        <w:t xml:space="preserve">ffene </w:t>
      </w:r>
      <w:r>
        <w:rPr>
          <w:rFonts w:ascii="Times New Roman" w:hAnsi="Times New Roman"/>
          <w:b/>
          <w:bCs/>
          <w:sz w:val="28"/>
          <w:szCs w:val="28"/>
        </w:rPr>
        <w:t>L</w:t>
      </w:r>
      <w:r>
        <w:rPr>
          <w:rFonts w:ascii="Times New Roman" w:hAnsi="Times New Roman"/>
        </w:rPr>
        <w:t>iste hält es für fatal, dass die Haushaltsmittel für die Personalausstattung in Kitas für 2023 und 2024 um die Beträge vom Bund gekürzt werden sollen, um andere Projekte zu finanzieren. Aus unserer Sicht muss der Senat die Mittel für Kitas auf dem vereinbarten Niveau belassen und die Gelder vom Bund für weitere personelle Verbesserungen einsetzen.</w:t>
      </w:r>
    </w:p>
    <w:p>
      <w:pPr>
        <w:pStyle w:val="Berschrift2"/>
        <w:numPr>
          <w:ilvl w:val="0"/>
          <w:numId w:val="0"/>
        </w:numPr>
        <w:ind w:left="0" w:right="0" w:hanging="0"/>
        <w:rPr/>
      </w:pPr>
      <w:r>
        <w:rPr>
          <w:rStyle w:val="Strong"/>
          <w:rFonts w:ascii="Arial" w:hAnsi="Arial"/>
          <w:b/>
          <w:i w:val="false"/>
          <w:iCs w:val="false"/>
        </w:rPr>
        <w:t>Was wird in den Kitas gebraucht?</w:t>
      </w:r>
    </w:p>
    <w:p>
      <w:pPr>
        <w:pStyle w:val="Normal"/>
        <w:spacing w:before="0" w:after="17"/>
        <w:rPr>
          <w:rFonts w:ascii="Times New Roman" w:hAnsi="Times New Roman"/>
        </w:rPr>
      </w:pPr>
      <w:r>
        <w:rPr>
          <w:rFonts w:ascii="Times New Roman" w:hAnsi="Times New Roman"/>
        </w:rPr>
        <w:t xml:space="preserve">Die Kitas brauchen weitere Meilensteine und neue konkrete Schritte zur Verbesserung des Fachkraft-Kind-Schlüssels, um die pädagogische Arbeit zu verbessern und die Beschäftigten zu entlasten, </w:t>
      </w:r>
      <w:r>
        <w:rPr>
          <w:rFonts w:ascii="Times New Roman" w:hAnsi="Times New Roman"/>
        </w:rPr>
        <w:t xml:space="preserve">um sie </w:t>
      </w:r>
      <w:r>
        <w:rPr>
          <w:rFonts w:ascii="Times New Roman" w:hAnsi="Times New Roman"/>
        </w:rPr>
        <w:t>länger im Beruf zu halten und neue Mitarbeitende zu gewinnen.</w:t>
      </w:r>
    </w:p>
    <w:p>
      <w:pPr>
        <w:pStyle w:val="Normal"/>
        <w:spacing w:before="0" w:after="17"/>
        <w:rPr>
          <w:rFonts w:ascii="Times New Roman" w:hAnsi="Times New Roman"/>
        </w:rPr>
      </w:pPr>
      <w:r>
        <w:rPr>
          <w:rFonts w:ascii="Times New Roman" w:hAnsi="Times New Roman"/>
          <w:sz w:val="24"/>
          <w:szCs w:val="24"/>
        </w:rPr>
        <w:t>In der Krippe bedeutet das einen echten 1:4 Schlüssel und im Ele-Bereich einen echten 1:10 Schlüssel.</w:t>
      </w:r>
    </w:p>
    <w:p>
      <w:pPr>
        <w:pStyle w:val="Normal"/>
        <w:numPr>
          <w:ilvl w:val="0"/>
          <w:numId w:val="2"/>
        </w:numPr>
        <w:ind w:left="720" w:right="0" w:hanging="360"/>
        <w:rPr>
          <w:rFonts w:ascii="Times New Roman" w:hAnsi="Times New Roman"/>
        </w:rPr>
      </w:pPr>
      <w:r>
        <w:rPr>
          <w:rFonts w:ascii="Times New Roman" w:hAnsi="Times New Roman"/>
        </w:rPr>
        <w:t>Berücksichtigung von Urlauben, Fortbildungen und Krankenzeiten</w:t>
      </w:r>
    </w:p>
    <w:p>
      <w:pPr>
        <w:pStyle w:val="Normal"/>
        <w:numPr>
          <w:ilvl w:val="0"/>
          <w:numId w:val="2"/>
        </w:numPr>
        <w:ind w:left="720" w:right="0" w:hanging="360"/>
        <w:rPr>
          <w:rFonts w:ascii="Times New Roman" w:hAnsi="Times New Roman"/>
        </w:rPr>
      </w:pPr>
      <w:r>
        <w:rPr>
          <w:rFonts w:ascii="Times New Roman" w:hAnsi="Times New Roman"/>
        </w:rPr>
        <w:t>Einbeziehung von Vor-und Nachbereitungszeiten, Kooperationszeiten, Berichtszeiten, etc.</w:t>
      </w:r>
    </w:p>
    <w:p>
      <w:pPr>
        <w:pStyle w:val="Normal"/>
        <w:numPr>
          <w:ilvl w:val="0"/>
          <w:numId w:val="2"/>
        </w:numPr>
        <w:ind w:left="720" w:right="0" w:hanging="360"/>
        <w:rPr>
          <w:rFonts w:ascii="Times New Roman" w:hAnsi="Times New Roman"/>
        </w:rPr>
      </w:pPr>
      <w:r>
        <w:rPr>
          <w:rFonts w:ascii="Times New Roman" w:hAnsi="Times New Roman"/>
        </w:rPr>
        <w:t>Der Fachkraft-Kind-Schlüssel muss für die gesamte Öffnungszeit bzw. Betreuungszeit gelten.</w:t>
      </w:r>
    </w:p>
    <w:p>
      <w:pPr>
        <w:pStyle w:val="Normal"/>
        <w:rPr>
          <w:rFonts w:ascii="Times New Roman" w:hAnsi="Times New Roman"/>
        </w:rPr>
      </w:pPr>
      <w:r>
        <w:rPr>
          <w:rFonts w:ascii="Times New Roman" w:hAnsi="Times New Roman"/>
        </w:rPr>
        <w:t xml:space="preserve">Entweder durch die Anhebung des Personalschlüssels in der Krippe auf </w:t>
      </w:r>
      <w:r>
        <w:rPr>
          <w:rFonts w:ascii="Times New Roman" w:hAnsi="Times New Roman"/>
          <w:b/>
          <w:bCs/>
        </w:rPr>
        <w:t>1:3</w:t>
      </w:r>
      <w:r>
        <w:rPr>
          <w:rFonts w:ascii="Times New Roman" w:hAnsi="Times New Roman"/>
        </w:rPr>
        <w:t xml:space="preserve"> und im Ele-Bereich auf </w:t>
      </w:r>
      <w:r>
        <w:rPr>
          <w:rFonts w:ascii="Times New Roman" w:hAnsi="Times New Roman"/>
          <w:b/>
          <w:bCs/>
        </w:rPr>
        <w:t>1:7.</w:t>
      </w:r>
      <w:r>
        <w:rPr>
          <w:rFonts w:ascii="Times New Roman" w:hAnsi="Times New Roman"/>
        </w:rPr>
        <w:t xml:space="preserve"> Oder durch die Vereinbarung von Personalquoten für die Ausfälle und die Sonderaufgaben.</w:t>
      </w:r>
    </w:p>
    <w:p>
      <w:pPr>
        <w:pStyle w:val="Berschrift3"/>
        <w:numPr>
          <w:ilvl w:val="0"/>
          <w:numId w:val="0"/>
        </w:numPr>
        <w:spacing w:before="57" w:after="28"/>
        <w:ind w:left="0" w:right="0" w:hanging="0"/>
        <w:rPr/>
      </w:pPr>
      <w:r>
        <w:rPr>
          <w:rStyle w:val="Strong"/>
          <w:rFonts w:ascii="Arial" w:hAnsi="Arial"/>
          <w:b/>
          <w:sz w:val="26"/>
          <w:szCs w:val="26"/>
        </w:rPr>
        <w:t>Einbeziehung der Beschäftigten und ihrer Vertretungen in die Gestaltung!</w:t>
      </w:r>
    </w:p>
    <w:p>
      <w:pPr>
        <w:pStyle w:val="Normal"/>
        <w:spacing w:before="0" w:after="17"/>
        <w:rPr>
          <w:rFonts w:ascii="Times New Roman" w:hAnsi="Times New Roman"/>
        </w:rPr>
      </w:pPr>
      <w:r>
        <w:rPr>
          <w:rFonts w:ascii="Times New Roman" w:hAnsi="Times New Roman"/>
        </w:rPr>
        <w:t>Die Planungsmöglichkeiten, die sich aus der Finanzierung durch den Bund ergeben, müssen die Verantwortlichen in HH zusätzlich zur Vertragskommission auch mit den Beschäftigten, z. B. vertreten durch das Kita-Netzwerk und die Gewerkschaften, verhandeln und in einem Abkommen festhalten.</w:t>
      </w:r>
    </w:p>
    <w:p>
      <w:pPr>
        <w:pStyle w:val="Normal"/>
        <w:spacing w:before="57" w:after="17"/>
        <w:jc w:val="center"/>
        <w:rPr>
          <w:rFonts w:ascii="Times New Roman" w:hAnsi="Times New Roman"/>
          <w:b/>
          <w:b/>
          <w:bCs/>
        </w:rPr>
      </w:pPr>
      <w:r>
        <w:rPr>
          <w:rFonts w:ascii="Times New Roman" w:hAnsi="Times New Roman"/>
          <w:b/>
          <w:bCs/>
        </w:rPr>
        <w:t>Lasst uns gemeinsam für weitere Verbesserungen ein</w:t>
      </w:r>
      <w:r>
        <w:rPr>
          <w:rFonts w:ascii="Times New Roman" w:hAnsi="Times New Roman"/>
          <w:b/>
          <w:bCs/>
        </w:rPr>
        <w:t>treten</w:t>
      </w:r>
      <w:r>
        <w:rPr>
          <w:rFonts w:ascii="Times New Roman" w:hAnsi="Times New Roman"/>
          <w:b/>
          <w:bCs/>
        </w:rPr>
        <w:t>!</w:t>
      </w:r>
    </w:p>
    <w:sectPr>
      <w:headerReference w:type="default" r:id="rId3"/>
      <w:footerReference w:type="default" r:id="rId4"/>
      <w:type w:val="nextPage"/>
      <w:pgSz w:w="11906" w:h="16838"/>
      <w:pgMar w:left="720" w:right="924" w:gutter="0" w:header="567" w:top="841" w:footer="720" w:bottom="7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Times New Roman">
    <w:charset w:val="01"/>
    <w:family w:val="swiss"/>
    <w:pitch w:val="default"/>
  </w:font>
  <w:font w:name="Symbol">
    <w:charset w:val="01"/>
    <w:family w:val="roman"/>
    <w:pitch w:val="default"/>
  </w:font>
  <w:font w:name="Courier New">
    <w:charset w:val="01"/>
    <w:family w:val="roman"/>
    <w:pitch w:val="default"/>
  </w:font>
  <w:font w:name="Wingdings">
    <w:altName w:val="Symbol"/>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Constantia">
    <w:charset w:val="01"/>
    <w:family w:val="roman"/>
    <w:pitch w:val="default"/>
  </w:font>
  <w:font w:name="Times New Roman">
    <w:charset w:val="01"/>
    <w:family w:val="roman"/>
    <w:pitch w:val="default"/>
  </w:font>
  <w:font w:name="Arial">
    <w:charset w:val="01"/>
    <w:family w:val="roman"/>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0"/>
        <w:szCs w:val="20"/>
      </w:rPr>
    </w:pPr>
    <w:r>
      <w:rPr>
        <w:sz w:val="20"/>
        <w:szCs w:val="20"/>
      </w:rPr>
      <w:t>DOL Ansprechpartner*innen</w:t>
    </w:r>
  </w:p>
  <w:tbl>
    <w:tblPr>
      <w:tblW w:w="9240" w:type="dxa"/>
      <w:jc w:val="left"/>
      <w:tblInd w:w="-113" w:type="dxa"/>
      <w:tblLayout w:type="fixed"/>
      <w:tblCellMar>
        <w:top w:w="0" w:type="dxa"/>
        <w:left w:w="108" w:type="dxa"/>
        <w:bottom w:w="0" w:type="dxa"/>
        <w:right w:w="108" w:type="dxa"/>
      </w:tblCellMar>
    </w:tblPr>
    <w:tblGrid>
      <w:gridCol w:w="3221"/>
      <w:gridCol w:w="1843"/>
      <w:gridCol w:w="4176"/>
    </w:tblGrid>
    <w:tr>
      <w:trPr>
        <w:trHeight w:val="170" w:hRule="atLeast"/>
      </w:trPr>
      <w:tc>
        <w:tcPr>
          <w:tcW w:w="3221" w:type="dxa"/>
          <w:tcBorders>
            <w:top w:val="single" w:sz="4" w:space="0" w:color="000000"/>
            <w:left w:val="single" w:sz="4" w:space="0" w:color="000000"/>
            <w:bottom w:val="single" w:sz="4" w:space="0" w:color="000000"/>
            <w:right w:val="single" w:sz="4" w:space="0" w:color="000000"/>
          </w:tcBorders>
        </w:tcPr>
        <w:p>
          <w:pPr>
            <w:pStyle w:val="Textkrper"/>
            <w:widowControl w:val="false"/>
            <w:spacing w:before="0" w:after="0"/>
            <w:rPr>
              <w:sz w:val="20"/>
              <w:szCs w:val="20"/>
            </w:rPr>
          </w:pPr>
          <w:r>
            <w:rPr>
              <w:rFonts w:ascii="Times New Roman" w:hAnsi="Times New Roman"/>
              <w:sz w:val="20"/>
              <w:szCs w:val="20"/>
            </w:rPr>
            <w:t>Konstanze</w:t>
          </w:r>
          <w:r>
            <w:rPr>
              <w:sz w:val="20"/>
              <w:szCs w:val="20"/>
            </w:rPr>
            <w:t xml:space="preserve"> Fischer –     Betriebsrätin</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Fonts w:eastAsia="Times New Roman" w:cs="Times New Roman"/>
              <w:sz w:val="20"/>
              <w:szCs w:val="20"/>
              <w:lang w:eastAsia="de-DE"/>
            </w:rPr>
            <w:t xml:space="preserve">040 </w:t>
          </w:r>
          <w:r>
            <w:rPr>
              <w:rFonts w:eastAsia="Times New Roman" w:cs="Times New Roman"/>
              <w:b/>
              <w:sz w:val="20"/>
              <w:szCs w:val="20"/>
              <w:lang w:eastAsia="de-DE"/>
            </w:rPr>
            <w:t>/</w:t>
          </w:r>
          <w:r>
            <w:rPr>
              <w:rFonts w:eastAsia="Times New Roman" w:cs="Times New Roman"/>
              <w:sz w:val="20"/>
              <w:szCs w:val="20"/>
              <w:lang w:eastAsia="de-DE"/>
            </w:rPr>
            <w:t xml:space="preserve"> 42109 – 184</w:t>
          </w:r>
        </w:p>
      </w:tc>
      <w:tc>
        <w:tcPr>
          <w:tcW w:w="4176"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k.fischer-betriebsrat@elbkinder-kitas.de</w:t>
          </w:r>
        </w:p>
      </w:tc>
    </w:tr>
    <w:tr>
      <w:trPr>
        <w:trHeight w:val="170" w:hRule="atLeast"/>
      </w:trPr>
      <w:tc>
        <w:tcPr>
          <w:tcW w:w="3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Ilona Scheither –          Betriebsrätin</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040 / 42109 – 180</w:t>
          </w:r>
        </w:p>
      </w:tc>
      <w:tc>
        <w:tcPr>
          <w:tcW w:w="4176"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i.scheither-betriebsrat@elbkinder-kitas.de</w:t>
          </w:r>
        </w:p>
      </w:tc>
    </w:tr>
    <w:tr>
      <w:trPr>
        <w:trHeight w:val="170" w:hRule="atLeast"/>
      </w:trPr>
      <w:tc>
        <w:tcPr>
          <w:tcW w:w="3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Holger Timmermann– Betriebsrat</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040 / 42109 – 187</w:t>
          </w:r>
        </w:p>
      </w:tc>
      <w:tc>
        <w:tcPr>
          <w:tcW w:w="4176"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h.timmermann-betriebsrat@elbkinder-kitas.de</w:t>
          </w:r>
        </w:p>
      </w:tc>
    </w:tr>
    <w:tr>
      <w:trPr>
        <w:trHeight w:val="170" w:hRule="atLeast"/>
      </w:trPr>
      <w:tc>
        <w:tcPr>
          <w:tcW w:w="3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 xml:space="preserve">Sabine Lafrentz  –        GEW </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0151 / 22523919</w:t>
          </w:r>
        </w:p>
      </w:tc>
      <w:tc>
        <w:tcPr>
          <w:tcW w:w="4176"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lafrentz@gew-hamburg.de</w:t>
          </w:r>
        </w:p>
      </w:tc>
    </w:tr>
  </w:tbl>
  <w:p>
    <w:pPr>
      <w:pStyle w:val="Normal"/>
      <w:rPr>
        <w:sz w:val="12"/>
        <w:szCs w:val="12"/>
      </w:rPr>
    </w:pPr>
    <w:r>
      <w:rPr>
        <w:sz w:val="12"/>
        <w:szCs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spacing w:before="0" w:after="120"/>
      <w:jc w:val="right"/>
      <w:rPr/>
    </w:pPr>
    <w:r>
      <w:rPr/>
    </w:r>
  </w:p>
  <w:p>
    <w:pPr>
      <w:pStyle w:val="Kopfzeile"/>
      <w:spacing w:before="0" w:after="12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decimal"/>
      <w:suff w:val="nothing"/>
      <w:lvlText w:val="%1"/>
      <w:lvlJc w:val="left"/>
      <w:pPr>
        <w:tabs>
          <w:tab w:val="num" w:pos="0"/>
        </w:tabs>
        <w:ind w:left="0" w:hanging="0"/>
      </w:pPr>
      <w:rPr/>
    </w:lvl>
    <w:lvl w:ilvl="1">
      <w:start w:val="1"/>
      <w:pStyle w:val="Berschrift2"/>
      <w:numFmt w:val="decimal"/>
      <w:suff w:val="nothing"/>
      <w:lvlText w:val="%2"/>
      <w:lvlJc w:val="left"/>
      <w:pPr>
        <w:tabs>
          <w:tab w:val="num" w:pos="0"/>
        </w:tabs>
        <w:ind w:left="0" w:hanging="0"/>
      </w:pPr>
      <w:rPr/>
    </w:lvl>
    <w:lvl w:ilvl="2">
      <w:start w:val="1"/>
      <w:pStyle w:val="Berschrift3"/>
      <w:numFmt w:val="decimal"/>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doNotExpandShiftReturn/>
    <w:usePrinterMetrics/>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ind w:left="0" w:right="0" w:hanging="0"/>
      <w:jc w:val="left"/>
    </w:pPr>
    <w:rPr>
      <w:rFonts w:ascii="Liberation Serif;Times New Roman" w:hAnsi="Liberation Serif;Times New Roman" w:eastAsia="Liberation Serif;Times New Roman" w:cs="Liberation Serif;Times New Roman"/>
      <w:color w:val="auto"/>
      <w:kern w:val="2"/>
      <w:sz w:val="24"/>
      <w:szCs w:val="24"/>
      <w:lang w:val="de-DE" w:eastAsia="zh-CN" w:bidi="hi-IN"/>
    </w:rPr>
  </w:style>
  <w:style w:type="paragraph" w:styleId="Berschrift1">
    <w:name w:val="Heading 1"/>
    <w:basedOn w:val="Berschrift"/>
    <w:next w:val="Textkrper"/>
    <w:qFormat/>
    <w:pPr>
      <w:numPr>
        <w:ilvl w:val="0"/>
        <w:numId w:val="1"/>
      </w:numPr>
      <w:outlineLvl w:val="0"/>
    </w:pPr>
    <w:rPr>
      <w:b/>
      <w:bCs/>
      <w:sz w:val="36"/>
      <w:szCs w:val="36"/>
    </w:rPr>
  </w:style>
  <w:style w:type="paragraph" w:styleId="Berschrift2">
    <w:name w:val="Heading 2"/>
    <w:basedOn w:val="Berschrift"/>
    <w:next w:val="Textkrper"/>
    <w:qFormat/>
    <w:pPr>
      <w:numPr>
        <w:ilvl w:val="1"/>
        <w:numId w:val="1"/>
      </w:numPr>
      <w:spacing w:before="113" w:after="57"/>
      <w:outlineLvl w:val="1"/>
    </w:pPr>
    <w:rPr>
      <w:b/>
      <w:bCs/>
      <w:i/>
      <w:iCs/>
      <w:sz w:val="28"/>
      <w:szCs w:val="28"/>
    </w:rPr>
  </w:style>
  <w:style w:type="paragraph" w:styleId="Berschrift3">
    <w:name w:val="Heading 3"/>
    <w:basedOn w:val="Berschrift"/>
    <w:next w:val="Textkrper"/>
    <w:qFormat/>
    <w:pPr>
      <w:numPr>
        <w:ilvl w:val="2"/>
        <w:numId w:val="1"/>
      </w:numPr>
      <w:outlineLvl w:val="2"/>
    </w:pPr>
    <w:rPr>
      <w:rFonts w:ascii="Times New Roman" w:hAnsi="Times New Roman" w:eastAsia="Times New Roman" w:cs="Times New Roman"/>
      <w:b/>
      <w:bCs/>
    </w:rPr>
  </w:style>
  <w:style w:type="character" w:styleId="AbsatzStandardschriftart">
    <w:name w:val="Absatz-Standardschriftar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eastAsia="Symbol" w:cs="Symbol"/>
      <w:b/>
      <w:bCs/>
      <w:sz w:val="20"/>
      <w:szCs w:val="20"/>
    </w:rPr>
  </w:style>
  <w:style w:type="character" w:styleId="WW8Num3z1">
    <w:name w:val="WW8Num3z1"/>
    <w:qFormat/>
    <w:rPr>
      <w:rFonts w:ascii="Symbol" w:hAnsi="Symbol" w:eastAsia="Symbol" w:cs="Symbol"/>
      <w:b w:val="false"/>
      <w:bCs w:val="false"/>
      <w:sz w:val="20"/>
      <w:szCs w:val="20"/>
    </w:rPr>
  </w:style>
  <w:style w:type="character" w:styleId="WW8Num3z3">
    <w:name w:val="WW8Num3z3"/>
    <w:qFormat/>
    <w:rPr>
      <w:rFonts w:ascii="Symbol" w:hAnsi="Symbol" w:eastAsia="Symbol" w:cs="Symbol"/>
      <w:sz w:val="20"/>
      <w:szCs w:val="20"/>
    </w:rPr>
  </w:style>
  <w:style w:type="character" w:styleId="WW8Num4z0">
    <w:name w:val="WW8Num4z0"/>
    <w:qFormat/>
    <w:rPr>
      <w:rFonts w:ascii="Symbol" w:hAnsi="Symbol" w:eastAsia="Symbol" w:cs="Symbol"/>
    </w:rPr>
  </w:style>
  <w:style w:type="character" w:styleId="WW8Num4z1">
    <w:name w:val="WW8Num4z1"/>
    <w:qFormat/>
    <w:rPr>
      <w:rFonts w:ascii="Courier New" w:hAnsi="Courier New" w:eastAsia="Courier New" w:cs="Courier New"/>
    </w:rPr>
  </w:style>
  <w:style w:type="character" w:styleId="WW8Num4z2">
    <w:name w:val="WW8Num4z2"/>
    <w:qFormat/>
    <w:rPr>
      <w:rFonts w:ascii="Wingdings;Symbol" w:hAnsi="Wingdings;Symbol" w:eastAsia="Wingdings;Symbol" w:cs="Wingdings;Symbol"/>
    </w:rPr>
  </w:style>
  <w:style w:type="character" w:styleId="WW8Num5z0">
    <w:name w:val="WW8Num5z0"/>
    <w:qFormat/>
    <w:rPr>
      <w:rFonts w:ascii="Symbol" w:hAnsi="Symbol" w:eastAsia="Symbol" w:cs="Symbol"/>
      <w:b/>
      <w:bCs/>
      <w:sz w:val="20"/>
      <w:szCs w:val="20"/>
    </w:rPr>
  </w:style>
  <w:style w:type="character" w:styleId="WW8Num5z1">
    <w:name w:val="WW8Num5z1"/>
    <w:qFormat/>
    <w:rPr>
      <w:rFonts w:ascii="Symbol" w:hAnsi="Symbol" w:eastAsia="Symbol" w:cs="Symbol"/>
      <w:b w:val="false"/>
      <w:bCs w:val="false"/>
      <w:sz w:val="20"/>
      <w:szCs w:val="20"/>
    </w:rPr>
  </w:style>
  <w:style w:type="character" w:styleId="WW8Num5z3">
    <w:name w:val="WW8Num5z3"/>
    <w:qFormat/>
    <w:rPr>
      <w:rFonts w:ascii="Symbol" w:hAnsi="Symbol" w:eastAsia="Symbol" w:cs="Symbol"/>
      <w:sz w:val="20"/>
      <w:szCs w:val="20"/>
    </w:rPr>
  </w:style>
  <w:style w:type="character" w:styleId="DefaultParagraphFont">
    <w:name w:val="Default Paragraph Font"/>
    <w:qFormat/>
    <w:rPr/>
  </w:style>
  <w:style w:type="character" w:styleId="Aufzhlungszeichen1">
    <w:name w:val="Aufzählungszeichen1"/>
    <w:qFormat/>
    <w:rPr>
      <w:rFonts w:ascii="OpenSymbol;Arial Unicode MS" w:hAnsi="OpenSymbol;Arial Unicode MS" w:eastAsia="OpenSymbol;Arial Unicode MS" w:cs="OpenSymbol;Arial Unicode MS"/>
    </w:rPr>
  </w:style>
  <w:style w:type="character" w:styleId="Internetverknpfung">
    <w:name w:val="Hyperlink"/>
    <w:rPr>
      <w:color w:val="000080"/>
      <w:u w:val="single"/>
      <w:lang w:val="zxx"/>
    </w:rPr>
  </w:style>
  <w:style w:type="character" w:styleId="Strong">
    <w:name w:val="Strong"/>
    <w:qFormat/>
    <w:rPr>
      <w:b/>
      <w:bCs/>
    </w:rPr>
  </w:style>
  <w:style w:type="character" w:styleId="Aufzhlungszeichen2">
    <w:name w:val="Aufzählungszeichen2"/>
    <w:qFormat/>
    <w:rPr>
      <w:rFonts w:ascii="OpenSymbol;Arial Unicode MS" w:hAnsi="OpenSymbol;Arial Unicode MS" w:eastAsia="OpenSymbol;Arial Unicode MS" w:cs="OpenSymbol;Arial Unicode MS"/>
    </w:rPr>
  </w:style>
  <w:style w:type="character" w:styleId="FuzeileZchn">
    <w:name w:val="Fußzeile Zchn"/>
    <w:basedOn w:val="DefaultParagraphFont"/>
    <w:qFormat/>
    <w:rPr>
      <w:sz w:val="24"/>
      <w:szCs w:val="24"/>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ind w:left="0" w:right="0" w:hanging="0"/>
    </w:pPr>
    <w:rPr>
      <w:rFonts w:ascii="Liberation Sans;Arial" w:hAnsi="Liberation Sans;Arial" w:eastAsia="Liberation Sans;Arial" w:cs="Liberation Sans;Arial"/>
      <w:sz w:val="28"/>
      <w:szCs w:val="28"/>
    </w:rPr>
  </w:style>
  <w:style w:type="paragraph" w:styleId="Textkrper">
    <w:name w:val="Body Text"/>
    <w:basedOn w:val="Normal"/>
    <w:pPr>
      <w:spacing w:lineRule="auto" w:line="276" w:before="0" w:after="140"/>
      <w:ind w:left="0" w:right="0" w:hanging="0"/>
    </w:pPr>
    <w:rPr/>
  </w:style>
  <w:style w:type="paragraph" w:styleId="Aufzhlung">
    <w:name w:val="List"/>
    <w:basedOn w:val="Textkrper"/>
    <w:pPr>
      <w:ind w:left="0" w:right="0" w:hanging="0"/>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ind w:left="0" w:right="0" w:hanging="0"/>
    </w:pPr>
    <w:rPr/>
  </w:style>
  <w:style w:type="paragraph" w:styleId="Caption">
    <w:name w:val="caption"/>
    <w:basedOn w:val="Normal"/>
    <w:qFormat/>
    <w:pPr>
      <w:suppressLineNumbers/>
      <w:spacing w:before="120" w:after="120"/>
      <w:ind w:left="0" w:right="0" w:hanging="0"/>
    </w:pPr>
    <w:rPr>
      <w:i/>
      <w:iCs/>
    </w:rPr>
  </w:style>
  <w:style w:type="paragraph" w:styleId="KopfundFuzeile">
    <w:name w:val="Kopf- und Fußzeile"/>
    <w:basedOn w:val="Normal"/>
    <w:qFormat/>
    <w:pPr>
      <w:suppressLineNumbers/>
      <w:tabs>
        <w:tab w:val="clear" w:pos="709"/>
        <w:tab w:val="center" w:pos="4819" w:leader="none"/>
        <w:tab w:val="right" w:pos="9638" w:leader="none"/>
      </w:tabs>
      <w:ind w:left="0" w:right="0" w:hanging="0"/>
    </w:pPr>
    <w:rPr/>
  </w:style>
  <w:style w:type="paragraph" w:styleId="Kopfzeile">
    <w:name w:val="Header"/>
    <w:basedOn w:val="Normal"/>
    <w:pPr>
      <w:suppressLineNumbers/>
      <w:tabs>
        <w:tab w:val="clear" w:pos="709"/>
        <w:tab w:val="center" w:pos="4536" w:leader="none"/>
        <w:tab w:val="right" w:pos="9072" w:leader="none"/>
      </w:tabs>
      <w:ind w:left="0" w:right="0" w:hanging="0"/>
    </w:pPr>
    <w:rPr/>
  </w:style>
  <w:style w:type="paragraph" w:styleId="FormatvorlageConstantiaNach0pt">
    <w:name w:val="Formatvorlage Constantia Nach:  0 pt"/>
    <w:basedOn w:val="Normal"/>
    <w:qFormat/>
    <w:pPr>
      <w:spacing w:lineRule="exact" w:line="220"/>
      <w:ind w:left="0" w:right="0" w:hanging="0"/>
    </w:pPr>
    <w:rPr>
      <w:rFonts w:ascii="Constantia" w:hAnsi="Constantia" w:eastAsia="Constantia" w:cs="Constantia"/>
    </w:rPr>
  </w:style>
  <w:style w:type="paragraph" w:styleId="Fuzeile">
    <w:name w:val="Footer"/>
    <w:basedOn w:val="Normal"/>
    <w:pPr>
      <w:suppressLineNumbers/>
      <w:tabs>
        <w:tab w:val="clear" w:pos="709"/>
        <w:tab w:val="center" w:pos="4536" w:leader="none"/>
        <w:tab w:val="right" w:pos="9072" w:leader="none"/>
      </w:tabs>
      <w:ind w:left="0" w:right="0" w:hanging="0"/>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paragraph" w:styleId="Titel">
    <w:name w:val="Title"/>
    <w:basedOn w:val="Berschrift"/>
    <w:next w:val="Textkrper"/>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DOL Vorlage</Template>
  <TotalTime>226</TotalTime>
  <Application>LibreOffice/7.4.3.2$Windows_X86_64 LibreOffice_project/1048a8393ae2eeec98dff31b5c133c5f1d08b890</Application>
  <AppVersion>15.0000</AppVersion>
  <Pages>1</Pages>
  <Words>437</Words>
  <Characters>2893</Characters>
  <CharactersWithSpaces>3322</CharactersWithSpaces>
  <Paragraphs>33</Paragraphs>
  <Company>Elbkinder - Verienigung Hamburger Kitas gGmbH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2023-08-14T20:10:01Z</dcterms:created>
  <dc:creator/>
  <dc:description/>
  <dc:language>de-DE</dc:language>
  <cp:lastModifiedBy/>
  <dcterms:modified xsi:type="dcterms:W3CDTF">2023-10-19T22:31:19Z</dcterms:modified>
  <cp:revision>13</cp:revision>
  <dc:subject/>
  <dc:title>DOL Vorlage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